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A98" w:rsidRDefault="004A6A98">
      <w:pPr>
        <w:rPr>
          <w:rFonts w:ascii="Times New Roman" w:hAnsi="Times New Roman" w:cs="Times New Roman"/>
          <w:sz w:val="28"/>
          <w:szCs w:val="28"/>
        </w:rPr>
      </w:pPr>
    </w:p>
    <w:p w:rsidR="00992D54" w:rsidRPr="003257D9" w:rsidRDefault="003257D9" w:rsidP="004A6A98">
      <w:pPr>
        <w:jc w:val="right"/>
        <w:rPr>
          <w:rFonts w:ascii="Times New Roman" w:hAnsi="Times New Roman" w:cs="Times New Roman"/>
          <w:sz w:val="28"/>
          <w:szCs w:val="28"/>
        </w:rPr>
      </w:pPr>
      <w:r w:rsidRPr="003257D9">
        <w:rPr>
          <w:rFonts w:ascii="Times New Roman" w:hAnsi="Times New Roman" w:cs="Times New Roman"/>
          <w:sz w:val="28"/>
          <w:szCs w:val="28"/>
        </w:rPr>
        <w:t>Форма № 1</w:t>
      </w:r>
    </w:p>
    <w:p w:rsidR="00941D3A" w:rsidRDefault="00941D3A" w:rsidP="007F45D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F45D1" w:rsidRDefault="003257D9" w:rsidP="007F45D1">
      <w:pPr>
        <w:jc w:val="center"/>
        <w:rPr>
          <w:rFonts w:ascii="Times New Roman" w:hAnsi="Times New Roman" w:cs="Times New Roman"/>
          <w:sz w:val="28"/>
          <w:szCs w:val="28"/>
        </w:rPr>
      </w:pPr>
      <w:r w:rsidRPr="003257D9">
        <w:rPr>
          <w:rFonts w:ascii="Times New Roman" w:hAnsi="Times New Roman" w:cs="Times New Roman"/>
          <w:sz w:val="28"/>
          <w:szCs w:val="28"/>
        </w:rPr>
        <w:t>Информация о достижении целевых показателей (индикаторов)</w:t>
      </w:r>
      <w:r>
        <w:rPr>
          <w:rFonts w:ascii="Times New Roman" w:hAnsi="Times New Roman" w:cs="Times New Roman"/>
          <w:sz w:val="28"/>
          <w:szCs w:val="28"/>
        </w:rPr>
        <w:t xml:space="preserve"> развития сферы</w:t>
      </w:r>
    </w:p>
    <w:p w:rsidR="007F45D1" w:rsidRDefault="007F45D1" w:rsidP="007F45D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</w:t>
      </w:r>
      <w:r w:rsidR="003257D9" w:rsidRPr="003257D9">
        <w:rPr>
          <w:rFonts w:ascii="Times New Roman" w:hAnsi="Times New Roman" w:cs="Times New Roman"/>
          <w:sz w:val="28"/>
          <w:szCs w:val="28"/>
        </w:rPr>
        <w:t xml:space="preserve"> в Свердловской области в </w:t>
      </w:r>
      <w:r w:rsidR="003257D9">
        <w:rPr>
          <w:rFonts w:ascii="Times New Roman" w:hAnsi="Times New Roman" w:cs="Times New Roman"/>
          <w:sz w:val="28"/>
          <w:szCs w:val="28"/>
        </w:rPr>
        <w:t>2014</w:t>
      </w:r>
    </w:p>
    <w:p w:rsidR="003257D9" w:rsidRDefault="003257D9" w:rsidP="007F45D1">
      <w:pPr>
        <w:jc w:val="center"/>
        <w:rPr>
          <w:rFonts w:ascii="Times New Roman" w:hAnsi="Times New Roman" w:cs="Times New Roman"/>
          <w:sz w:val="28"/>
          <w:szCs w:val="28"/>
        </w:rPr>
      </w:pPr>
      <w:r w:rsidRPr="003257D9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«дорожной картой»</w:t>
      </w:r>
    </w:p>
    <w:tbl>
      <w:tblPr>
        <w:tblStyle w:val="a3"/>
        <w:tblW w:w="11093" w:type="dxa"/>
        <w:tblInd w:w="-743" w:type="dxa"/>
        <w:tblLayout w:type="fixed"/>
        <w:tblLook w:val="04A0"/>
      </w:tblPr>
      <w:tblGrid>
        <w:gridCol w:w="2552"/>
        <w:gridCol w:w="1418"/>
        <w:gridCol w:w="1878"/>
        <w:gridCol w:w="1276"/>
        <w:gridCol w:w="1418"/>
        <w:gridCol w:w="1275"/>
        <w:gridCol w:w="1276"/>
      </w:tblGrid>
      <w:tr w:rsidR="003257D9" w:rsidTr="005C4C5F">
        <w:tc>
          <w:tcPr>
            <w:tcW w:w="2552" w:type="dxa"/>
            <w:vMerge w:val="restart"/>
          </w:tcPr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418" w:type="dxa"/>
            <w:vMerge w:val="restart"/>
          </w:tcPr>
          <w:p w:rsidR="003257D9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</w:t>
            </w:r>
            <w:r w:rsidR="003257D9" w:rsidRPr="004A6A9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878" w:type="dxa"/>
            <w:vMerge w:val="restart"/>
          </w:tcPr>
          <w:p w:rsidR="00941D3A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целевого показателя (индикатора) на </w:t>
            </w:r>
          </w:p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5245" w:type="dxa"/>
            <w:gridSpan w:val="4"/>
          </w:tcPr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>Достижение целевого показателя (индикатора)</w:t>
            </w:r>
          </w:p>
        </w:tc>
      </w:tr>
      <w:tr w:rsidR="003257D9" w:rsidTr="005C4C5F">
        <w:tc>
          <w:tcPr>
            <w:tcW w:w="2552" w:type="dxa"/>
            <w:vMerge/>
          </w:tcPr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vMerge/>
          </w:tcPr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</w:tcPr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2014 </w:t>
            </w:r>
          </w:p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275" w:type="dxa"/>
          </w:tcPr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 </w:t>
            </w: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 xml:space="preserve"> месяцев</w:t>
            </w:r>
          </w:p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6" w:type="dxa"/>
          </w:tcPr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A9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257D9" w:rsidTr="005C4C5F">
        <w:tc>
          <w:tcPr>
            <w:tcW w:w="2552" w:type="dxa"/>
          </w:tcPr>
          <w:p w:rsidR="003257D9" w:rsidRPr="004F7167" w:rsidRDefault="00BF67F8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библиографических записей в сводном электронном каталоге библиотек Кушвинского городского округа</w:t>
            </w:r>
          </w:p>
        </w:tc>
        <w:tc>
          <w:tcPr>
            <w:tcW w:w="1418" w:type="dxa"/>
          </w:tcPr>
          <w:p w:rsidR="003257D9" w:rsidRPr="004F7167" w:rsidRDefault="00BF67F8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878" w:type="dxa"/>
          </w:tcPr>
          <w:p w:rsidR="003257D9" w:rsidRPr="003257D9" w:rsidRDefault="00882B0D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276" w:type="dxa"/>
          </w:tcPr>
          <w:p w:rsidR="003257D9" w:rsidRPr="003257D9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57D9" w:rsidRPr="003257D9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57D9" w:rsidRPr="004A6A98" w:rsidRDefault="003257D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библиографических записей, включенных в Сводный электронный каталог библиотек Свердловской области</w:t>
            </w:r>
          </w:p>
        </w:tc>
        <w:tc>
          <w:tcPr>
            <w:tcW w:w="1418" w:type="dxa"/>
          </w:tcPr>
          <w:p w:rsidR="005C4C5F" w:rsidRPr="003257D9" w:rsidRDefault="004F7167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878" w:type="dxa"/>
          </w:tcPr>
          <w:p w:rsidR="005C4C5F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доля объектов культурного наследия, информация о которых внесена в электронную базу данных единого государственного реестра объектов культурного наследия (памятников истории и культуры) народов Российской Федерации, в общем количестве объектов культурного наследия</w:t>
            </w:r>
          </w:p>
        </w:tc>
        <w:tc>
          <w:tcPr>
            <w:tcW w:w="1418" w:type="dxa"/>
          </w:tcPr>
          <w:p w:rsidR="005C4C5F" w:rsidRPr="003257D9" w:rsidRDefault="004F7167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878" w:type="dxa"/>
          </w:tcPr>
          <w:p w:rsidR="005C4C5F" w:rsidRPr="003257D9" w:rsidRDefault="005D1DE2" w:rsidP="005D1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увеличение доли представленных (во всех формах) зрителю музейных предметов в общем количестве музейных предметов основного фонда</w:t>
            </w:r>
          </w:p>
        </w:tc>
        <w:tc>
          <w:tcPr>
            <w:tcW w:w="1418" w:type="dxa"/>
          </w:tcPr>
          <w:p w:rsidR="005C4C5F" w:rsidRPr="003257D9" w:rsidRDefault="004F7167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878" w:type="dxa"/>
          </w:tcPr>
          <w:p w:rsidR="005C4C5F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рост ежегодной посещаемости муниципального музея, количество посещений на 1000 человек жителей Кушвинского городского округа</w:t>
            </w:r>
          </w:p>
        </w:tc>
        <w:tc>
          <w:tcPr>
            <w:tcW w:w="1418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посещения</w:t>
            </w:r>
          </w:p>
        </w:tc>
        <w:tc>
          <w:tcPr>
            <w:tcW w:w="1878" w:type="dxa"/>
          </w:tcPr>
          <w:p w:rsidR="005C4C5F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4F7167" w:rsidRDefault="004F7167" w:rsidP="004F7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численности участников культурно-досуговых мероприятий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878" w:type="dxa"/>
          </w:tcPr>
          <w:p w:rsidR="005C4C5F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-19,6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уровень удовлетворенности населения Кушвинского городского округа качеством и доступностью предоставляемых муниципальных услуг в сфере культуры</w:t>
            </w:r>
          </w:p>
        </w:tc>
        <w:tc>
          <w:tcPr>
            <w:tcW w:w="1418" w:type="dxa"/>
          </w:tcPr>
          <w:p w:rsidR="005C4C5F" w:rsidRPr="003257D9" w:rsidRDefault="004F7167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878" w:type="dxa"/>
          </w:tcPr>
          <w:p w:rsidR="005C4C5F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</w:t>
            </w:r>
          </w:p>
        </w:tc>
        <w:tc>
          <w:tcPr>
            <w:tcW w:w="1418" w:type="dxa"/>
          </w:tcPr>
          <w:p w:rsidR="005C4C5F" w:rsidRPr="003257D9" w:rsidRDefault="004F7167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878" w:type="dxa"/>
          </w:tcPr>
          <w:p w:rsidR="005C4C5F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 xml:space="preserve">доля муниципальных библиотек, имеющих </w:t>
            </w:r>
            <w:proofErr w:type="spellStart"/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веб-сайты</w:t>
            </w:r>
            <w:proofErr w:type="spellEnd"/>
            <w:r w:rsidRPr="004F7167">
              <w:rPr>
                <w:rFonts w:ascii="Times New Roman" w:hAnsi="Times New Roman" w:cs="Times New Roman"/>
                <w:sz w:val="20"/>
                <w:szCs w:val="20"/>
              </w:rPr>
              <w:t xml:space="preserve"> в сети Интернет, через которые обеспечен доступ к имеющимся у них электронным фондам и электронным каталогам, от общего количества этих библиотек</w:t>
            </w:r>
          </w:p>
        </w:tc>
        <w:tc>
          <w:tcPr>
            <w:tcW w:w="1418" w:type="dxa"/>
          </w:tcPr>
          <w:p w:rsidR="005C4C5F" w:rsidRPr="003257D9" w:rsidRDefault="004F7167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878" w:type="dxa"/>
          </w:tcPr>
          <w:p w:rsidR="005C4C5F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 xml:space="preserve">доля музеев, имеющих </w:t>
            </w:r>
            <w:proofErr w:type="spellStart"/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веб-сайт</w:t>
            </w:r>
            <w:proofErr w:type="spellEnd"/>
            <w:r w:rsidRPr="004F7167">
              <w:rPr>
                <w:rFonts w:ascii="Times New Roman" w:hAnsi="Times New Roman" w:cs="Times New Roman"/>
                <w:sz w:val="20"/>
                <w:szCs w:val="20"/>
              </w:rPr>
              <w:t xml:space="preserve"> в сети Интернет, в общем количестве муниципальных музеев Кушвинского городского округа</w:t>
            </w:r>
          </w:p>
        </w:tc>
        <w:tc>
          <w:tcPr>
            <w:tcW w:w="1418" w:type="dxa"/>
          </w:tcPr>
          <w:p w:rsidR="005C4C5F" w:rsidRPr="003257D9" w:rsidRDefault="004F7167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878" w:type="dxa"/>
          </w:tcPr>
          <w:p w:rsidR="005C4C5F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число передвижных музейных выставок</w:t>
            </w:r>
          </w:p>
        </w:tc>
        <w:tc>
          <w:tcPr>
            <w:tcW w:w="1418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1878" w:type="dxa"/>
          </w:tcPr>
          <w:p w:rsidR="005C4C5F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доля детей, привлекаемых к участию в творческих мероприятиях, в общем числе детей</w:t>
            </w:r>
          </w:p>
        </w:tc>
        <w:tc>
          <w:tcPr>
            <w:tcW w:w="1418" w:type="dxa"/>
          </w:tcPr>
          <w:p w:rsidR="005C4C5F" w:rsidRPr="003257D9" w:rsidRDefault="004F7167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878" w:type="dxa"/>
          </w:tcPr>
          <w:p w:rsidR="005C4C5F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число грантов главы Кушвинского городского округа для поддержки значимых для социокультурного развития Кушвинского городского округа проектов организаций культуры в культурно-досуговой, библиотечной и музейной сферах</w:t>
            </w:r>
          </w:p>
        </w:tc>
        <w:tc>
          <w:tcPr>
            <w:tcW w:w="1418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1878" w:type="dxa"/>
          </w:tcPr>
          <w:p w:rsidR="005C4C5F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4F7167" w:rsidRDefault="004F7167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67">
              <w:rPr>
                <w:rFonts w:ascii="Times New Roman" w:hAnsi="Times New Roman" w:cs="Times New Roman"/>
                <w:bCs/>
                <w:sz w:val="20"/>
                <w:szCs w:val="20"/>
              </w:rPr>
              <w:t>увеличение посещаемости учреждений культуры</w:t>
            </w:r>
          </w:p>
        </w:tc>
        <w:tc>
          <w:tcPr>
            <w:tcW w:w="1418" w:type="dxa"/>
          </w:tcPr>
          <w:p w:rsidR="005C4C5F" w:rsidRPr="003257D9" w:rsidRDefault="004F7167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единицы</w:t>
            </w:r>
          </w:p>
        </w:tc>
        <w:tc>
          <w:tcPr>
            <w:tcW w:w="1878" w:type="dxa"/>
          </w:tcPr>
          <w:p w:rsidR="005C4C5F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C5F" w:rsidTr="005C4C5F">
        <w:tc>
          <w:tcPr>
            <w:tcW w:w="2552" w:type="dxa"/>
          </w:tcPr>
          <w:p w:rsidR="005C4C5F" w:rsidRPr="00197B99" w:rsidRDefault="00197B99" w:rsidP="00325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B99">
              <w:rPr>
                <w:rFonts w:ascii="Times New Roman" w:hAnsi="Times New Roman" w:cs="Times New Roman"/>
                <w:bCs/>
                <w:sz w:val="20"/>
                <w:szCs w:val="20"/>
              </w:rPr>
              <w:t>увеличение количества предоставляемых дополнительных услуг учреждениями культуры</w:t>
            </w:r>
          </w:p>
        </w:tc>
        <w:tc>
          <w:tcPr>
            <w:tcW w:w="1418" w:type="dxa"/>
          </w:tcPr>
          <w:p w:rsidR="005C4C5F" w:rsidRPr="003257D9" w:rsidRDefault="00197B9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878" w:type="dxa"/>
          </w:tcPr>
          <w:p w:rsidR="005C4C5F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C4C5F" w:rsidRPr="003257D9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4C5F" w:rsidRPr="004A6A98" w:rsidRDefault="005C4C5F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B99" w:rsidTr="005C4C5F">
        <w:tc>
          <w:tcPr>
            <w:tcW w:w="2552" w:type="dxa"/>
          </w:tcPr>
          <w:p w:rsidR="00197B99" w:rsidRPr="00197B99" w:rsidRDefault="00197B99" w:rsidP="003257D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7B99">
              <w:rPr>
                <w:rFonts w:ascii="Times New Roman" w:hAnsi="Times New Roman" w:cs="Times New Roman"/>
                <w:bCs/>
                <w:sz w:val="20"/>
                <w:szCs w:val="20"/>
              </w:rPr>
              <w:t>оптимизация численности работников культуры</w:t>
            </w:r>
          </w:p>
        </w:tc>
        <w:tc>
          <w:tcPr>
            <w:tcW w:w="1418" w:type="dxa"/>
          </w:tcPr>
          <w:p w:rsidR="00197B99" w:rsidRPr="003257D9" w:rsidRDefault="00197B9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167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878" w:type="dxa"/>
          </w:tcPr>
          <w:p w:rsidR="00197B99" w:rsidRPr="003257D9" w:rsidRDefault="005D1DE2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97B99" w:rsidRPr="003257D9" w:rsidRDefault="00197B9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7B99" w:rsidRPr="003257D9" w:rsidRDefault="00197B9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97B99" w:rsidRPr="004A6A98" w:rsidRDefault="00197B9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7B99" w:rsidRPr="004A6A98" w:rsidRDefault="00197B99" w:rsidP="0032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57D9" w:rsidRDefault="003257D9" w:rsidP="003257D9">
      <w:pPr>
        <w:rPr>
          <w:rFonts w:ascii="Times New Roman" w:hAnsi="Times New Roman" w:cs="Times New Roman"/>
          <w:sz w:val="28"/>
          <w:szCs w:val="28"/>
        </w:rPr>
      </w:pPr>
    </w:p>
    <w:p w:rsidR="00E4627E" w:rsidRDefault="00E462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A6A98" w:rsidRDefault="004A6A98" w:rsidP="00E4627E">
      <w:pPr>
        <w:jc w:val="right"/>
        <w:rPr>
          <w:rFonts w:ascii="Times New Roman" w:hAnsi="Times New Roman" w:cs="Times New Roman"/>
          <w:sz w:val="28"/>
          <w:szCs w:val="28"/>
        </w:rPr>
        <w:sectPr w:rsidR="004A6A98" w:rsidSect="004A6A9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941D3A" w:rsidRDefault="00E4627E" w:rsidP="001A2C8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2</w:t>
      </w:r>
    </w:p>
    <w:p w:rsidR="00E4627E" w:rsidRDefault="00E4627E" w:rsidP="00DC35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реализации в Свердло</w:t>
      </w:r>
      <w:r w:rsidR="007F45D1">
        <w:rPr>
          <w:rFonts w:ascii="Times New Roman" w:hAnsi="Times New Roman" w:cs="Times New Roman"/>
          <w:sz w:val="28"/>
          <w:szCs w:val="28"/>
        </w:rPr>
        <w:t xml:space="preserve">вской области указов Президента </w:t>
      </w:r>
      <w:r>
        <w:rPr>
          <w:rFonts w:ascii="Times New Roman" w:hAnsi="Times New Roman" w:cs="Times New Roman"/>
          <w:sz w:val="28"/>
          <w:szCs w:val="28"/>
        </w:rPr>
        <w:t>Российской Федерации от 07 мая 2012 года</w:t>
      </w:r>
    </w:p>
    <w:p w:rsidR="007F45D1" w:rsidRDefault="007F45D1" w:rsidP="00DC356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1A2C8F" w:rsidRPr="001A2C8F">
        <w:rPr>
          <w:rFonts w:ascii="Times New Roman" w:hAnsi="Times New Roman" w:cs="Times New Roman"/>
          <w:sz w:val="28"/>
          <w:szCs w:val="28"/>
          <w:u w:val="single"/>
        </w:rPr>
        <w:t xml:space="preserve"> Управление культуры Кушвинского городского округа 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наименование исполнительного органа власти Свердловской области</w:t>
      </w:r>
    </w:p>
    <w:p w:rsidR="007F45D1" w:rsidRDefault="007F45D1" w:rsidP="00DC35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01.07.2014г. </w:t>
      </w:r>
    </w:p>
    <w:tbl>
      <w:tblPr>
        <w:tblStyle w:val="a3"/>
        <w:tblW w:w="14992" w:type="dxa"/>
        <w:tblLayout w:type="fixed"/>
        <w:tblLook w:val="04A0"/>
      </w:tblPr>
      <w:tblGrid>
        <w:gridCol w:w="817"/>
        <w:gridCol w:w="3827"/>
        <w:gridCol w:w="2957"/>
        <w:gridCol w:w="2430"/>
        <w:gridCol w:w="4961"/>
      </w:tblGrid>
      <w:tr w:rsidR="00E44FD3" w:rsidTr="006C4400">
        <w:tc>
          <w:tcPr>
            <w:tcW w:w="817" w:type="dxa"/>
            <w:vMerge w:val="restart"/>
          </w:tcPr>
          <w:p w:rsidR="00E44FD3" w:rsidRDefault="00E44FD3" w:rsidP="006C4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27" w:type="dxa"/>
            <w:vMerge w:val="restart"/>
          </w:tcPr>
          <w:p w:rsidR="00E44FD3" w:rsidRDefault="00E44FD3" w:rsidP="006C4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Поручение, содержащееся в Указе Президента РФ</w:t>
            </w:r>
          </w:p>
        </w:tc>
        <w:tc>
          <w:tcPr>
            <w:tcW w:w="5387" w:type="dxa"/>
            <w:gridSpan w:val="2"/>
          </w:tcPr>
          <w:p w:rsidR="00E44FD3" w:rsidRDefault="00E44FD3" w:rsidP="006C4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Важнейшие целевые показатели и индикаторы, обеспечивающие достижение поручений Указа Президента РФ</w:t>
            </w:r>
          </w:p>
        </w:tc>
        <w:tc>
          <w:tcPr>
            <w:tcW w:w="4961" w:type="dxa"/>
            <w:vMerge w:val="restart"/>
          </w:tcPr>
          <w:p w:rsidR="00E44FD3" w:rsidRDefault="00E44FD3" w:rsidP="006C4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реализации мероприятий, обеспечивающих выполнение поручения содержащегося в Указе Президента РФ</w:t>
            </w:r>
          </w:p>
        </w:tc>
      </w:tr>
      <w:tr w:rsidR="00E44FD3" w:rsidTr="006C4400">
        <w:tc>
          <w:tcPr>
            <w:tcW w:w="817" w:type="dxa"/>
            <w:vMerge/>
          </w:tcPr>
          <w:p w:rsidR="00E44FD3" w:rsidRDefault="00E44FD3" w:rsidP="006C4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E44FD3" w:rsidRDefault="00E44FD3" w:rsidP="006C4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E44FD3" w:rsidRDefault="00E44FD3" w:rsidP="006C4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2430" w:type="dxa"/>
          </w:tcPr>
          <w:p w:rsidR="00E44FD3" w:rsidRDefault="00E44FD3" w:rsidP="006C4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4961" w:type="dxa"/>
            <w:vMerge/>
          </w:tcPr>
          <w:p w:rsidR="00E44FD3" w:rsidRDefault="00E44FD3" w:rsidP="006C4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400" w:rsidTr="006C4400">
        <w:tc>
          <w:tcPr>
            <w:tcW w:w="817" w:type="dxa"/>
          </w:tcPr>
          <w:p w:rsidR="006C4400" w:rsidRDefault="006C4400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5" w:type="dxa"/>
            <w:gridSpan w:val="4"/>
          </w:tcPr>
          <w:p w:rsidR="006C4400" w:rsidRDefault="006C4400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 президента РФ от 07 мая 2012 года______________________________________________________________</w:t>
            </w:r>
          </w:p>
        </w:tc>
      </w:tr>
      <w:tr w:rsidR="001A2C8F" w:rsidTr="000C7CF5">
        <w:tc>
          <w:tcPr>
            <w:tcW w:w="817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1A2C8F" w:rsidRPr="00C349A5" w:rsidRDefault="001A2C8F" w:rsidP="00C3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работников учреждений культуры к средней заработной плате по экономике Свердловской области</w:t>
            </w:r>
          </w:p>
        </w:tc>
        <w:tc>
          <w:tcPr>
            <w:tcW w:w="2957" w:type="dxa"/>
            <w:vAlign w:val="bottom"/>
          </w:tcPr>
          <w:p w:rsidR="001A2C8F" w:rsidRPr="00C349A5" w:rsidRDefault="001A2C8F" w:rsidP="00C303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64,9</w:t>
            </w:r>
          </w:p>
        </w:tc>
        <w:tc>
          <w:tcPr>
            <w:tcW w:w="2430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C8F" w:rsidTr="000C7CF5">
        <w:tc>
          <w:tcPr>
            <w:tcW w:w="817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1A2C8F" w:rsidRPr="00C349A5" w:rsidRDefault="001A2C8F" w:rsidP="00C3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работников муниципальных учреждений культуры </w:t>
            </w:r>
          </w:p>
        </w:tc>
        <w:tc>
          <w:tcPr>
            <w:tcW w:w="2957" w:type="dxa"/>
            <w:vAlign w:val="bottom"/>
          </w:tcPr>
          <w:p w:rsidR="001A2C8F" w:rsidRPr="00C349A5" w:rsidRDefault="001A2C8F" w:rsidP="00C3037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2430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C8F" w:rsidTr="000C7CF5">
        <w:tc>
          <w:tcPr>
            <w:tcW w:w="817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1A2C8F" w:rsidRPr="00C349A5" w:rsidRDefault="001A2C8F" w:rsidP="00C3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Доля электронных изданий в общем количестве поступлений в фонды библиотек</w:t>
            </w:r>
          </w:p>
        </w:tc>
        <w:tc>
          <w:tcPr>
            <w:tcW w:w="2957" w:type="dxa"/>
            <w:vAlign w:val="bottom"/>
          </w:tcPr>
          <w:p w:rsidR="001A2C8F" w:rsidRPr="00C349A5" w:rsidRDefault="001A2C8F" w:rsidP="00C303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C8F" w:rsidRPr="00C349A5" w:rsidRDefault="001A2C8F" w:rsidP="00C303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C8F" w:rsidRPr="00C349A5" w:rsidRDefault="001A2C8F" w:rsidP="00C303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30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C8F" w:rsidTr="000C7CF5">
        <w:tc>
          <w:tcPr>
            <w:tcW w:w="817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1A2C8F" w:rsidRPr="00C349A5" w:rsidRDefault="001A2C8F" w:rsidP="00C3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Количество действующих виртуальных музеев</w:t>
            </w:r>
          </w:p>
        </w:tc>
        <w:tc>
          <w:tcPr>
            <w:tcW w:w="2957" w:type="dxa"/>
            <w:vAlign w:val="bottom"/>
          </w:tcPr>
          <w:p w:rsidR="001A2C8F" w:rsidRPr="00C349A5" w:rsidRDefault="001A2C8F" w:rsidP="00C303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0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C8F" w:rsidTr="000C7CF5">
        <w:tc>
          <w:tcPr>
            <w:tcW w:w="817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7" w:type="dxa"/>
          </w:tcPr>
          <w:p w:rsidR="001A2C8F" w:rsidRPr="00C349A5" w:rsidRDefault="001A2C8F" w:rsidP="00C3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выставочных музейных проектов</w:t>
            </w:r>
          </w:p>
        </w:tc>
        <w:tc>
          <w:tcPr>
            <w:tcW w:w="2957" w:type="dxa"/>
            <w:vAlign w:val="bottom"/>
          </w:tcPr>
          <w:p w:rsidR="001A2C8F" w:rsidRPr="00C349A5" w:rsidRDefault="001A2C8F" w:rsidP="00C303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0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C8F" w:rsidTr="000C7CF5">
        <w:tc>
          <w:tcPr>
            <w:tcW w:w="817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7" w:type="dxa"/>
          </w:tcPr>
          <w:p w:rsidR="001A2C8F" w:rsidRPr="00C349A5" w:rsidRDefault="001A2C8F" w:rsidP="00C30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Доля учащихся детских школ искусств, привлекаемых к участию в конкурсных творческих мероприятиях, от общего числа учащихся детских школ искусств</w:t>
            </w:r>
          </w:p>
        </w:tc>
        <w:tc>
          <w:tcPr>
            <w:tcW w:w="2957" w:type="dxa"/>
            <w:vAlign w:val="bottom"/>
          </w:tcPr>
          <w:p w:rsidR="001A2C8F" w:rsidRPr="00C349A5" w:rsidRDefault="001A2C8F" w:rsidP="00C303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9A5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2430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1A2C8F" w:rsidRDefault="001A2C8F" w:rsidP="007F45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7955" w:rsidRDefault="00E87955">
      <w:pPr>
        <w:rPr>
          <w:rFonts w:ascii="Times New Roman" w:hAnsi="Times New Roman" w:cs="Times New Roman"/>
          <w:sz w:val="28"/>
          <w:szCs w:val="28"/>
        </w:rPr>
      </w:pPr>
    </w:p>
    <w:p w:rsidR="008F0BF0" w:rsidRDefault="008F0BF0" w:rsidP="008F0BF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3</w:t>
      </w:r>
    </w:p>
    <w:p w:rsidR="008F0BF0" w:rsidRDefault="008F0BF0" w:rsidP="008F0BF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уровне средней заработной платы отдельных категорий работников бюджетного сектора экономики, в отношении которых предусмотрены мероприятия по повышению оплаты труда</w:t>
      </w:r>
    </w:p>
    <w:tbl>
      <w:tblPr>
        <w:tblStyle w:val="a3"/>
        <w:tblW w:w="14742" w:type="dxa"/>
        <w:tblInd w:w="108" w:type="dxa"/>
        <w:tblLook w:val="04A0"/>
      </w:tblPr>
      <w:tblGrid>
        <w:gridCol w:w="4678"/>
        <w:gridCol w:w="2268"/>
        <w:gridCol w:w="4536"/>
        <w:gridCol w:w="3260"/>
      </w:tblGrid>
      <w:tr w:rsidR="008F0BF0" w:rsidTr="004B6EB6">
        <w:tc>
          <w:tcPr>
            <w:tcW w:w="4678" w:type="dxa"/>
            <w:vAlign w:val="center"/>
          </w:tcPr>
          <w:p w:rsidR="008F0BF0" w:rsidRPr="00E87955" w:rsidRDefault="008F0BF0" w:rsidP="004B6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55">
              <w:rPr>
                <w:rFonts w:ascii="Times New Roman" w:hAnsi="Times New Roman" w:cs="Times New Roman"/>
                <w:sz w:val="24"/>
                <w:szCs w:val="24"/>
              </w:rPr>
              <w:t>Категории работников бюджетной сферы, в отношении которых предусмотрены мероприятия по повышению средней заработной платы</w:t>
            </w:r>
          </w:p>
        </w:tc>
        <w:tc>
          <w:tcPr>
            <w:tcW w:w="2268" w:type="dxa"/>
            <w:vAlign w:val="center"/>
          </w:tcPr>
          <w:p w:rsidR="008F0BF0" w:rsidRPr="00E87955" w:rsidRDefault="008F0BF0" w:rsidP="004B6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55">
              <w:rPr>
                <w:rFonts w:ascii="Times New Roman" w:hAnsi="Times New Roman" w:cs="Times New Roman"/>
                <w:sz w:val="24"/>
                <w:szCs w:val="24"/>
              </w:rPr>
              <w:t xml:space="preserve">Среднемесячная заработная плата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полугодие </w:t>
            </w:r>
            <w:r w:rsidRPr="00E87955">
              <w:rPr>
                <w:rFonts w:ascii="Times New Roman" w:hAnsi="Times New Roman" w:cs="Times New Roman"/>
                <w:sz w:val="24"/>
                <w:szCs w:val="24"/>
              </w:rPr>
              <w:t>2014   года, рублей</w:t>
            </w:r>
          </w:p>
        </w:tc>
        <w:tc>
          <w:tcPr>
            <w:tcW w:w="4536" w:type="dxa"/>
            <w:vAlign w:val="center"/>
          </w:tcPr>
          <w:p w:rsidR="008F0BF0" w:rsidRDefault="008F0BF0" w:rsidP="004B6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7955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к расчетному значению средней заработной платы по экономике в СО (к средней заработной плате по экономике в СО)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  <w:r w:rsidRPr="00E87955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  <w:proofErr w:type="gramEnd"/>
          </w:p>
          <w:p w:rsidR="008F0BF0" w:rsidRPr="00E87955" w:rsidRDefault="008F0BF0" w:rsidP="004B6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55">
              <w:rPr>
                <w:rFonts w:ascii="Times New Roman" w:hAnsi="Times New Roman" w:cs="Times New Roman"/>
                <w:sz w:val="24"/>
                <w:szCs w:val="24"/>
              </w:rPr>
              <w:t>года, %</w:t>
            </w:r>
          </w:p>
        </w:tc>
        <w:tc>
          <w:tcPr>
            <w:tcW w:w="3260" w:type="dxa"/>
            <w:vAlign w:val="center"/>
          </w:tcPr>
          <w:p w:rsidR="008F0BF0" w:rsidRDefault="008F0BF0" w:rsidP="004B6EB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55">
              <w:rPr>
                <w:rFonts w:ascii="Times New Roman" w:hAnsi="Times New Roman" w:cs="Times New Roman"/>
                <w:sz w:val="24"/>
                <w:szCs w:val="24"/>
              </w:rPr>
              <w:t>Целевой показатель – соотношение</w:t>
            </w:r>
          </w:p>
          <w:p w:rsidR="008F0BF0" w:rsidRDefault="008F0BF0" w:rsidP="004B6EB6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55">
              <w:rPr>
                <w:rFonts w:ascii="Times New Roman" w:hAnsi="Times New Roman" w:cs="Times New Roman"/>
                <w:sz w:val="24"/>
                <w:szCs w:val="24"/>
              </w:rPr>
              <w:t>к средней заработной плате по экономике в регионе</w:t>
            </w:r>
          </w:p>
          <w:p w:rsidR="008F0BF0" w:rsidRPr="00E87955" w:rsidRDefault="008F0BF0" w:rsidP="004B6EB6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955">
              <w:rPr>
                <w:rFonts w:ascii="Times New Roman" w:hAnsi="Times New Roman" w:cs="Times New Roman"/>
                <w:sz w:val="24"/>
                <w:szCs w:val="24"/>
              </w:rPr>
              <w:t>в 2014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</w:tr>
      <w:tr w:rsidR="008F0BF0" w:rsidTr="004B6EB6">
        <w:tc>
          <w:tcPr>
            <w:tcW w:w="4678" w:type="dxa"/>
          </w:tcPr>
          <w:p w:rsidR="008F0BF0" w:rsidRPr="00E87955" w:rsidRDefault="008F0BF0" w:rsidP="004B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культуры Кушвинского городского округа</w:t>
            </w:r>
          </w:p>
        </w:tc>
        <w:tc>
          <w:tcPr>
            <w:tcW w:w="2268" w:type="dxa"/>
            <w:vAlign w:val="bottom"/>
          </w:tcPr>
          <w:p w:rsidR="008F0BF0" w:rsidRPr="00E87955" w:rsidRDefault="008F0BF0" w:rsidP="004B6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16 042,20</w:t>
            </w:r>
          </w:p>
        </w:tc>
        <w:tc>
          <w:tcPr>
            <w:tcW w:w="4536" w:type="dxa"/>
            <w:vAlign w:val="bottom"/>
          </w:tcPr>
          <w:p w:rsidR="008F0BF0" w:rsidRPr="00E87955" w:rsidRDefault="008F0BF0" w:rsidP="004B6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3260" w:type="dxa"/>
            <w:vAlign w:val="bottom"/>
          </w:tcPr>
          <w:p w:rsidR="008F0BF0" w:rsidRPr="00E87955" w:rsidRDefault="008F0BF0" w:rsidP="004B6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</w:t>
            </w:r>
          </w:p>
        </w:tc>
      </w:tr>
      <w:tr w:rsidR="008F0BF0" w:rsidTr="004B6EB6">
        <w:tc>
          <w:tcPr>
            <w:tcW w:w="4678" w:type="dxa"/>
          </w:tcPr>
          <w:p w:rsidR="008F0BF0" w:rsidRPr="00E87955" w:rsidRDefault="008F0BF0" w:rsidP="004B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7245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педагогического состава </w:t>
            </w:r>
            <w:r w:rsidRPr="00317245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образования детей  в сфере культуры </w:t>
            </w:r>
            <w:r w:rsidRPr="00317245">
              <w:rPr>
                <w:rFonts w:ascii="Times New Roman" w:hAnsi="Times New Roman" w:cs="Times New Roman"/>
                <w:sz w:val="24"/>
                <w:szCs w:val="24"/>
              </w:rPr>
              <w:t>Кушвинского городского округа</w:t>
            </w:r>
          </w:p>
        </w:tc>
        <w:tc>
          <w:tcPr>
            <w:tcW w:w="2268" w:type="dxa"/>
            <w:vAlign w:val="bottom"/>
          </w:tcPr>
          <w:p w:rsidR="008F0BF0" w:rsidRPr="00E87955" w:rsidRDefault="008F0BF0" w:rsidP="004B6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28 320,14</w:t>
            </w:r>
          </w:p>
        </w:tc>
        <w:tc>
          <w:tcPr>
            <w:tcW w:w="4536" w:type="dxa"/>
            <w:vAlign w:val="bottom"/>
          </w:tcPr>
          <w:p w:rsidR="008F0BF0" w:rsidRPr="00E87955" w:rsidRDefault="008F0BF0" w:rsidP="004B6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3260" w:type="dxa"/>
            <w:vAlign w:val="bottom"/>
          </w:tcPr>
          <w:p w:rsidR="008F0BF0" w:rsidRPr="00E87955" w:rsidRDefault="008F0BF0" w:rsidP="004B6E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8F0BF0" w:rsidRPr="007F45D1" w:rsidRDefault="008F0BF0" w:rsidP="008F0BF0">
      <w:pPr>
        <w:rPr>
          <w:rFonts w:ascii="Times New Roman" w:hAnsi="Times New Roman" w:cs="Times New Roman"/>
          <w:sz w:val="28"/>
          <w:szCs w:val="28"/>
        </w:rPr>
      </w:pPr>
    </w:p>
    <w:p w:rsidR="00E87955" w:rsidRPr="007F45D1" w:rsidRDefault="00E87955" w:rsidP="00E87955">
      <w:pPr>
        <w:rPr>
          <w:rFonts w:ascii="Times New Roman" w:hAnsi="Times New Roman" w:cs="Times New Roman"/>
          <w:sz w:val="28"/>
          <w:szCs w:val="28"/>
        </w:rPr>
      </w:pPr>
    </w:p>
    <w:sectPr w:rsidR="00E87955" w:rsidRPr="007F45D1" w:rsidSect="007F45D1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EB457E4"/>
    <w:multiLevelType w:val="hybridMultilevel"/>
    <w:tmpl w:val="009A7D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257D9"/>
    <w:rsid w:val="001570B0"/>
    <w:rsid w:val="00197B99"/>
    <w:rsid w:val="001A2C8F"/>
    <w:rsid w:val="003257D9"/>
    <w:rsid w:val="003746A1"/>
    <w:rsid w:val="004A6A98"/>
    <w:rsid w:val="004F7167"/>
    <w:rsid w:val="005C4C5F"/>
    <w:rsid w:val="005D1DE2"/>
    <w:rsid w:val="005D4B99"/>
    <w:rsid w:val="006C4400"/>
    <w:rsid w:val="007F45D1"/>
    <w:rsid w:val="00882B0D"/>
    <w:rsid w:val="008F0BF0"/>
    <w:rsid w:val="00941D3A"/>
    <w:rsid w:val="00992D54"/>
    <w:rsid w:val="00A55DE7"/>
    <w:rsid w:val="00BF67F8"/>
    <w:rsid w:val="00DC3561"/>
    <w:rsid w:val="00E44FD3"/>
    <w:rsid w:val="00E4627E"/>
    <w:rsid w:val="00E8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D54"/>
  </w:style>
  <w:style w:type="paragraph" w:styleId="1">
    <w:name w:val="heading 1"/>
    <w:basedOn w:val="a"/>
    <w:next w:val="a"/>
    <w:link w:val="10"/>
    <w:qFormat/>
    <w:rsid w:val="004A6A98"/>
    <w:pPr>
      <w:keepNext/>
      <w:tabs>
        <w:tab w:val="num" w:pos="360"/>
      </w:tabs>
      <w:suppressAutoHyphens/>
      <w:spacing w:after="0" w:line="240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4A6A98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7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A6A98"/>
    <w:rPr>
      <w:rFonts w:ascii="Times New Roman" w:eastAsia="Times New Roman" w:hAnsi="Times New Roman" w:cs="Times New Roman"/>
      <w:b/>
      <w:bCs/>
      <w:sz w:val="20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4A6A98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styleId="a4">
    <w:name w:val="Hyperlink"/>
    <w:basedOn w:val="a0"/>
    <w:unhideWhenUsed/>
    <w:rsid w:val="004A6A98"/>
    <w:rPr>
      <w:color w:val="0000FF"/>
      <w:u w:val="single"/>
    </w:rPr>
  </w:style>
  <w:style w:type="paragraph" w:styleId="a5">
    <w:name w:val="Title"/>
    <w:basedOn w:val="a"/>
    <w:link w:val="a6"/>
    <w:qFormat/>
    <w:rsid w:val="004A6A9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4A6A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A6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6A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</dc:creator>
  <cp:keywords/>
  <dc:description/>
  <cp:lastModifiedBy>Odinodin</cp:lastModifiedBy>
  <cp:revision>11</cp:revision>
  <dcterms:created xsi:type="dcterms:W3CDTF">2014-07-09T03:40:00Z</dcterms:created>
  <dcterms:modified xsi:type="dcterms:W3CDTF">2014-07-11T06:25:00Z</dcterms:modified>
</cp:coreProperties>
</file>